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3C32C1">
      <w:pPr>
        <w:pStyle w:val="3"/>
        <w:rPr>
          <w:rFonts w:hint="eastAsia" w:eastAsia="黑体" w:cs="黑体"/>
          <w:iCs/>
          <w:kern w:val="2"/>
          <w:sz w:val="32"/>
          <w:szCs w:val="32"/>
          <w:lang w:val="en-US" w:eastAsia="zh-CN" w:bidi="ar-SA"/>
        </w:rPr>
      </w:pPr>
      <w:r>
        <w:rPr>
          <w:rFonts w:hint="eastAsia" w:ascii="Times New Roman" w:hAnsi="Times New Roman" w:eastAsia="黑体" w:cs="黑体"/>
          <w:iCs/>
          <w:kern w:val="2"/>
          <w:sz w:val="32"/>
          <w:szCs w:val="32"/>
          <w:lang w:val="en-US" w:eastAsia="zh-CN" w:bidi="ar-SA"/>
        </w:rPr>
        <w:t>附件</w:t>
      </w:r>
      <w:r>
        <w:rPr>
          <w:rFonts w:hint="eastAsia" w:eastAsia="黑体" w:cs="黑体"/>
          <w:iCs/>
          <w:kern w:val="2"/>
          <w:sz w:val="32"/>
          <w:szCs w:val="32"/>
          <w:lang w:val="en-US" w:eastAsia="zh-CN" w:bidi="ar-SA"/>
        </w:rPr>
        <w:t>1</w:t>
      </w:r>
    </w:p>
    <w:p w14:paraId="72AB8351">
      <w:pPr>
        <w:pStyle w:val="3"/>
        <w:rPr>
          <w:rFonts w:hint="eastAsia" w:eastAsia="黑体" w:cs="黑体"/>
          <w:iCs/>
          <w:kern w:val="2"/>
          <w:sz w:val="32"/>
          <w:szCs w:val="32"/>
          <w:lang w:val="en-US" w:eastAsia="zh-CN" w:bidi="ar-SA"/>
        </w:rPr>
      </w:pPr>
      <w:bookmarkStart w:id="0" w:name="_GoBack"/>
      <w:bookmarkEnd w:id="0"/>
    </w:p>
    <w:p w14:paraId="590C582E">
      <w:pPr>
        <w:keepNext w:val="0"/>
        <w:keepLines w:val="0"/>
        <w:pageBreakBefore w:val="0"/>
        <w:widowControl w:val="0"/>
        <w:kinsoku/>
        <w:wordWrap/>
        <w:overflowPunct/>
        <w:topLinePunct w:val="0"/>
        <w:autoSpaceDE/>
        <w:autoSpaceDN/>
        <w:bidi w:val="0"/>
        <w:adjustRightInd/>
        <w:snapToGrid/>
        <w:spacing w:line="219" w:lineRule="auto"/>
        <w:jc w:val="center"/>
        <w:textAlignment w:val="auto"/>
        <w:rPr>
          <w:rFonts w:hint="eastAsia" w:ascii="Times New Roman" w:hAnsi="Times New Roman" w:eastAsia="华文中宋" w:cs="华文中宋"/>
          <w:b/>
          <w:bCs/>
          <w:spacing w:val="5"/>
          <w:sz w:val="36"/>
          <w:szCs w:val="36"/>
        </w:rPr>
      </w:pPr>
      <w:r>
        <w:rPr>
          <w:rFonts w:hint="eastAsia" w:ascii="Times New Roman" w:hAnsi="Times New Roman" w:eastAsia="华文中宋" w:cs="华文中宋"/>
          <w:b/>
          <w:bCs/>
          <w:spacing w:val="5"/>
          <w:sz w:val="36"/>
          <w:szCs w:val="36"/>
        </w:rPr>
        <w:t>农业对外技术援助项目可研验收专家</w:t>
      </w:r>
      <w:r>
        <w:rPr>
          <w:rFonts w:hint="eastAsia" w:eastAsia="华文中宋" w:cs="华文中宋"/>
          <w:b/>
          <w:bCs/>
          <w:spacing w:val="5"/>
          <w:sz w:val="36"/>
          <w:szCs w:val="36"/>
          <w:lang w:eastAsia="zh-CN"/>
        </w:rPr>
        <w:t>专业</w:t>
      </w:r>
      <w:r>
        <w:rPr>
          <w:rFonts w:hint="eastAsia" w:ascii="Times New Roman" w:hAnsi="Times New Roman" w:eastAsia="华文中宋" w:cs="华文中宋"/>
          <w:b/>
          <w:bCs/>
          <w:spacing w:val="5"/>
          <w:sz w:val="36"/>
          <w:szCs w:val="36"/>
        </w:rPr>
        <w:t>需求</w:t>
      </w:r>
    </w:p>
    <w:p w14:paraId="24FA3BDD">
      <w:pPr>
        <w:keepNext w:val="0"/>
        <w:keepLines w:val="0"/>
        <w:pageBreakBefore w:val="0"/>
        <w:widowControl w:val="0"/>
        <w:kinsoku/>
        <w:wordWrap/>
        <w:overflowPunct/>
        <w:topLinePunct w:val="0"/>
        <w:autoSpaceDE/>
        <w:autoSpaceDN/>
        <w:bidi w:val="0"/>
        <w:adjustRightInd/>
        <w:snapToGrid/>
        <w:spacing w:line="219" w:lineRule="auto"/>
        <w:jc w:val="center"/>
        <w:textAlignment w:val="auto"/>
        <w:rPr>
          <w:rFonts w:hint="eastAsia" w:eastAsia="华文中宋" w:cs="华文中宋"/>
          <w:b/>
          <w:bCs/>
          <w:spacing w:val="5"/>
          <w:sz w:val="36"/>
          <w:szCs w:val="36"/>
          <w:lang w:eastAsia="zh-CN"/>
        </w:rPr>
      </w:pPr>
      <w:r>
        <w:rPr>
          <w:rFonts w:hint="eastAsia" w:eastAsia="华文中宋" w:cs="华文中宋"/>
          <w:b/>
          <w:bCs/>
          <w:spacing w:val="5"/>
          <w:sz w:val="36"/>
          <w:szCs w:val="36"/>
          <w:lang w:eastAsia="zh-CN"/>
        </w:rPr>
        <w:t>及后续安排</w:t>
      </w:r>
    </w:p>
    <w:p w14:paraId="3931CD34">
      <w:pPr>
        <w:keepNext w:val="0"/>
        <w:keepLines w:val="0"/>
        <w:pageBreakBefore w:val="0"/>
        <w:widowControl w:val="0"/>
        <w:kinsoku/>
        <w:wordWrap/>
        <w:overflowPunct/>
        <w:topLinePunct w:val="0"/>
        <w:autoSpaceDE/>
        <w:autoSpaceDN/>
        <w:bidi w:val="0"/>
        <w:adjustRightInd/>
        <w:snapToGrid/>
        <w:spacing w:line="219" w:lineRule="auto"/>
        <w:jc w:val="center"/>
        <w:textAlignment w:val="auto"/>
        <w:rPr>
          <w:rFonts w:hint="eastAsia" w:eastAsia="华文中宋" w:cs="华文中宋"/>
          <w:b/>
          <w:bCs/>
          <w:spacing w:val="5"/>
          <w:sz w:val="36"/>
          <w:szCs w:val="36"/>
          <w:lang w:eastAsia="zh-CN"/>
        </w:rPr>
      </w:pPr>
    </w:p>
    <w:p w14:paraId="3F68312E">
      <w:pPr>
        <w:spacing w:before="299" w:line="360" w:lineRule="auto"/>
        <w:ind w:left="677"/>
        <w:outlineLvl w:val="0"/>
        <w:rPr>
          <w:rFonts w:hint="eastAsia" w:ascii="Times New Roman" w:hAnsi="Times New Roman" w:eastAsia="黑体" w:cs="黑体"/>
          <w:b w:val="0"/>
          <w:bCs w:val="0"/>
          <w:spacing w:val="-3"/>
          <w:sz w:val="32"/>
          <w:szCs w:val="32"/>
        </w:rPr>
      </w:pPr>
      <w:r>
        <w:rPr>
          <w:rFonts w:hint="eastAsia" w:ascii="Times New Roman" w:hAnsi="Times New Roman" w:eastAsia="黑体" w:cs="黑体"/>
          <w:b w:val="0"/>
          <w:bCs w:val="0"/>
          <w:spacing w:val="-3"/>
          <w:sz w:val="32"/>
          <w:szCs w:val="32"/>
        </w:rPr>
        <w:t>一、专业需求</w:t>
      </w:r>
    </w:p>
    <w:p w14:paraId="46662B4D">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Times New Roman" w:hAnsi="Times New Roman" w:eastAsia="仿宋_GB2312"/>
          <w:b w:val="0"/>
          <w:bCs/>
          <w:sz w:val="32"/>
          <w:szCs w:val="32"/>
          <w:highlight w:val="none"/>
          <w:lang w:val="en-US" w:eastAsia="zh-CN"/>
        </w:rPr>
      </w:pPr>
      <w:r>
        <w:rPr>
          <w:rFonts w:hint="eastAsia" w:ascii="Times New Roman" w:hAnsi="Times New Roman" w:eastAsia="仿宋_GB2312"/>
          <w:b w:val="0"/>
          <w:bCs/>
          <w:sz w:val="32"/>
          <w:szCs w:val="32"/>
          <w:highlight w:val="none"/>
          <w:lang w:val="en-US" w:eastAsia="zh-CN"/>
        </w:rPr>
        <w:t>主要包括畜牧</w:t>
      </w:r>
      <w:r>
        <w:rPr>
          <w:rFonts w:hint="eastAsia" w:eastAsia="仿宋_GB2312"/>
          <w:b w:val="0"/>
          <w:bCs/>
          <w:sz w:val="32"/>
          <w:szCs w:val="32"/>
          <w:highlight w:val="none"/>
          <w:lang w:val="en-US" w:eastAsia="zh-CN"/>
        </w:rPr>
        <w:t>（</w:t>
      </w:r>
      <w:r>
        <w:rPr>
          <w:rFonts w:hint="eastAsia" w:ascii="Times New Roman" w:hAnsi="Times New Roman" w:eastAsia="仿宋_GB2312"/>
          <w:b w:val="0"/>
          <w:bCs/>
          <w:sz w:val="32"/>
          <w:szCs w:val="32"/>
          <w:highlight w:val="none"/>
          <w:lang w:val="en-US" w:eastAsia="zh-CN"/>
        </w:rPr>
        <w:t>牛羊、家禽方向</w:t>
      </w:r>
      <w:r>
        <w:rPr>
          <w:rFonts w:hint="eastAsia" w:eastAsia="仿宋_GB2312"/>
          <w:b w:val="0"/>
          <w:bCs/>
          <w:sz w:val="32"/>
          <w:szCs w:val="32"/>
          <w:highlight w:val="none"/>
          <w:lang w:val="en-US" w:eastAsia="zh-CN"/>
        </w:rPr>
        <w:t>）</w:t>
      </w:r>
      <w:r>
        <w:rPr>
          <w:rFonts w:hint="eastAsia" w:ascii="Times New Roman" w:hAnsi="Times New Roman" w:eastAsia="仿宋_GB2312"/>
          <w:b w:val="0"/>
          <w:bCs/>
          <w:sz w:val="32"/>
          <w:szCs w:val="32"/>
          <w:highlight w:val="none"/>
          <w:lang w:val="en-US" w:eastAsia="zh-CN"/>
        </w:rPr>
        <w:t>、作物栽培</w:t>
      </w:r>
      <w:r>
        <w:rPr>
          <w:rFonts w:hint="eastAsia" w:eastAsia="仿宋_GB2312"/>
          <w:b w:val="0"/>
          <w:bCs/>
          <w:sz w:val="32"/>
          <w:szCs w:val="32"/>
          <w:highlight w:val="none"/>
          <w:lang w:val="en-US" w:eastAsia="zh-CN"/>
        </w:rPr>
        <w:t>（</w:t>
      </w:r>
      <w:r>
        <w:rPr>
          <w:rFonts w:hint="eastAsia" w:ascii="Times New Roman" w:hAnsi="Times New Roman" w:eastAsia="仿宋_GB2312"/>
          <w:b w:val="0"/>
          <w:bCs/>
          <w:sz w:val="32"/>
          <w:szCs w:val="32"/>
          <w:highlight w:val="none"/>
          <w:lang w:val="en-US" w:eastAsia="zh-CN"/>
        </w:rPr>
        <w:t>水稻、小麦</w:t>
      </w:r>
      <w:r>
        <w:rPr>
          <w:rFonts w:hint="eastAsia" w:eastAsia="仿宋_GB2312"/>
          <w:b w:val="0"/>
          <w:bCs/>
          <w:sz w:val="32"/>
          <w:szCs w:val="32"/>
          <w:highlight w:val="none"/>
          <w:lang w:val="en-US" w:eastAsia="zh-CN"/>
        </w:rPr>
        <w:t>）</w:t>
      </w:r>
      <w:r>
        <w:rPr>
          <w:rFonts w:hint="eastAsia" w:ascii="Times New Roman" w:hAnsi="Times New Roman" w:eastAsia="仿宋_GB2312"/>
          <w:b w:val="0"/>
          <w:bCs/>
          <w:sz w:val="32"/>
          <w:szCs w:val="32"/>
          <w:highlight w:val="none"/>
          <w:lang w:val="en-US" w:eastAsia="zh-CN"/>
        </w:rPr>
        <w:t>、蔬菜、园艺</w:t>
      </w:r>
      <w:r>
        <w:rPr>
          <w:rFonts w:hint="eastAsia" w:eastAsia="仿宋_GB2312"/>
          <w:b w:val="0"/>
          <w:bCs/>
          <w:sz w:val="32"/>
          <w:szCs w:val="32"/>
          <w:highlight w:val="none"/>
          <w:lang w:val="en-US" w:eastAsia="zh-CN"/>
        </w:rPr>
        <w:t>（</w:t>
      </w:r>
      <w:r>
        <w:rPr>
          <w:rFonts w:hint="eastAsia" w:ascii="Times New Roman" w:hAnsi="Times New Roman" w:eastAsia="仿宋_GB2312"/>
          <w:b w:val="0"/>
          <w:bCs/>
          <w:sz w:val="32"/>
          <w:szCs w:val="32"/>
          <w:highlight w:val="none"/>
          <w:lang w:val="en-US" w:eastAsia="zh-CN"/>
        </w:rPr>
        <w:t>柑橘、苹果方向</w:t>
      </w:r>
      <w:r>
        <w:rPr>
          <w:rFonts w:hint="eastAsia" w:eastAsia="仿宋_GB2312"/>
          <w:b w:val="0"/>
          <w:bCs/>
          <w:sz w:val="32"/>
          <w:szCs w:val="32"/>
          <w:highlight w:val="none"/>
          <w:lang w:val="en-US" w:eastAsia="zh-CN"/>
        </w:rPr>
        <w:t>）</w:t>
      </w:r>
      <w:r>
        <w:rPr>
          <w:rFonts w:hint="eastAsia" w:ascii="Times New Roman" w:hAnsi="Times New Roman" w:eastAsia="仿宋_GB2312"/>
          <w:b w:val="0"/>
          <w:bCs/>
          <w:sz w:val="32"/>
          <w:szCs w:val="32"/>
          <w:highlight w:val="none"/>
          <w:lang w:val="en-US" w:eastAsia="zh-CN"/>
        </w:rPr>
        <w:t>、菌草、动植物遗传育种、植物保护、土肥、兽医、农机、农产品加工、水利灌溉、水土保持、食用菌等领域。</w:t>
      </w:r>
    </w:p>
    <w:p w14:paraId="6CEB1DC8">
      <w:pPr>
        <w:keepNext w:val="0"/>
        <w:keepLines w:val="0"/>
        <w:pageBreakBefore w:val="0"/>
        <w:widowControl w:val="0"/>
        <w:kinsoku/>
        <w:wordWrap/>
        <w:overflowPunct/>
        <w:topLinePunct w:val="0"/>
        <w:autoSpaceDE/>
        <w:autoSpaceDN/>
        <w:bidi w:val="0"/>
        <w:adjustRightInd/>
        <w:snapToGrid/>
        <w:spacing w:line="360" w:lineRule="auto"/>
        <w:ind w:left="675"/>
        <w:textAlignment w:val="auto"/>
        <w:outlineLvl w:val="0"/>
        <w:rPr>
          <w:rFonts w:hint="eastAsia" w:ascii="Times New Roman" w:hAnsi="Times New Roman" w:eastAsia="黑体" w:cs="黑体"/>
          <w:b w:val="0"/>
          <w:bCs w:val="0"/>
          <w:spacing w:val="-3"/>
          <w:sz w:val="32"/>
          <w:szCs w:val="32"/>
        </w:rPr>
      </w:pPr>
      <w:r>
        <w:rPr>
          <w:rFonts w:hint="eastAsia" w:ascii="Times New Roman" w:hAnsi="Times New Roman" w:eastAsia="黑体" w:cs="黑体"/>
          <w:b w:val="0"/>
          <w:bCs w:val="0"/>
          <w:spacing w:val="-3"/>
          <w:sz w:val="32"/>
          <w:szCs w:val="32"/>
        </w:rPr>
        <w:t>二、工作内容</w:t>
      </w:r>
    </w:p>
    <w:p w14:paraId="66D9A595">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Times New Roman" w:hAnsi="Times New Roman" w:eastAsia="仿宋_GB2312"/>
          <w:b w:val="0"/>
          <w:bCs/>
          <w:sz w:val="32"/>
          <w:szCs w:val="32"/>
          <w:highlight w:val="none"/>
          <w:lang w:val="en-US" w:eastAsia="zh-CN"/>
        </w:rPr>
      </w:pPr>
      <w:r>
        <w:rPr>
          <w:rFonts w:hint="eastAsia" w:ascii="Times New Roman" w:hAnsi="Times New Roman" w:eastAsia="仿宋_GB2312"/>
          <w:b w:val="0"/>
          <w:bCs/>
          <w:sz w:val="32"/>
          <w:szCs w:val="32"/>
          <w:highlight w:val="none"/>
          <w:lang w:val="en-US" w:eastAsia="zh-CN"/>
        </w:rPr>
        <w:t>在非洲、亚洲、南太地区等有关国家，开展以下工作：</w:t>
      </w:r>
    </w:p>
    <w:p w14:paraId="57A1B438">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Times New Roman" w:hAnsi="Times New Roman" w:eastAsia="仿宋_GB2312"/>
          <w:b w:val="0"/>
          <w:bCs/>
          <w:sz w:val="32"/>
          <w:szCs w:val="32"/>
          <w:highlight w:val="none"/>
          <w:lang w:val="en-US" w:eastAsia="zh-CN"/>
        </w:rPr>
      </w:pPr>
      <w:r>
        <w:rPr>
          <w:rFonts w:hint="eastAsia" w:ascii="Times New Roman" w:hAnsi="Times New Roman" w:eastAsia="仿宋_GB2312"/>
          <w:b w:val="0"/>
          <w:bCs/>
          <w:sz w:val="32"/>
          <w:szCs w:val="32"/>
          <w:highlight w:val="none"/>
          <w:lang w:val="en-US" w:eastAsia="zh-CN"/>
        </w:rPr>
        <w:t>1. 开展国别与行业调研考察，收集项目相关基础资料，分析受援方需求，编制发展规划、技术规范、调研报告和合作方案等，并提供咨询服务，工作期限一般为1—3个月；出国工作时间一般不超过2周；</w:t>
      </w:r>
    </w:p>
    <w:p w14:paraId="660587CE">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Times New Roman" w:hAnsi="Times New Roman" w:eastAsia="仿宋_GB2312"/>
          <w:b w:val="0"/>
          <w:bCs/>
          <w:sz w:val="32"/>
          <w:szCs w:val="32"/>
          <w:highlight w:val="none"/>
          <w:lang w:val="en-US" w:eastAsia="zh-CN"/>
        </w:rPr>
      </w:pPr>
      <w:r>
        <w:rPr>
          <w:rFonts w:hint="eastAsia" w:ascii="Times New Roman" w:hAnsi="Times New Roman" w:eastAsia="仿宋_GB2312"/>
          <w:b w:val="0"/>
          <w:bCs/>
          <w:sz w:val="32"/>
          <w:szCs w:val="32"/>
          <w:highlight w:val="none"/>
          <w:lang w:val="en-US" w:eastAsia="zh-CN"/>
        </w:rPr>
        <w:t>2. 验收评估相关项目完成情况，提出整改意见，工作期限一般为1—2个月；出国工作时间一般不超过2周。</w:t>
      </w:r>
    </w:p>
    <w:p w14:paraId="17095C75">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Times New Roman" w:hAnsi="Times New Roman" w:eastAsia="仿宋_GB2312"/>
          <w:b w:val="0"/>
          <w:bCs/>
          <w:sz w:val="32"/>
          <w:szCs w:val="32"/>
          <w:highlight w:val="none"/>
          <w:lang w:val="en-US" w:eastAsia="zh-CN"/>
        </w:rPr>
      </w:pPr>
      <w:r>
        <w:rPr>
          <w:rFonts w:hint="eastAsia" w:ascii="Times New Roman" w:hAnsi="Times New Roman" w:eastAsia="仿宋_GB2312"/>
          <w:b w:val="0"/>
          <w:bCs/>
          <w:sz w:val="32"/>
          <w:szCs w:val="32"/>
          <w:highlight w:val="none"/>
          <w:lang w:val="en-US" w:eastAsia="zh-CN"/>
        </w:rPr>
        <w:t>具体工作内容与期限视项目情况而定。</w:t>
      </w:r>
    </w:p>
    <w:p w14:paraId="3D85C325">
      <w:pPr>
        <w:keepNext w:val="0"/>
        <w:keepLines w:val="0"/>
        <w:pageBreakBefore w:val="0"/>
        <w:widowControl w:val="0"/>
        <w:kinsoku/>
        <w:wordWrap/>
        <w:overflowPunct/>
        <w:topLinePunct w:val="0"/>
        <w:autoSpaceDE/>
        <w:autoSpaceDN/>
        <w:bidi w:val="0"/>
        <w:adjustRightInd/>
        <w:snapToGrid/>
        <w:spacing w:line="360" w:lineRule="auto"/>
        <w:ind w:left="675"/>
        <w:textAlignment w:val="auto"/>
        <w:outlineLvl w:val="0"/>
        <w:rPr>
          <w:rFonts w:hint="eastAsia" w:ascii="Times New Roman" w:hAnsi="Times New Roman" w:eastAsia="黑体" w:cs="黑体"/>
          <w:b w:val="0"/>
          <w:bCs w:val="0"/>
          <w:spacing w:val="-3"/>
          <w:sz w:val="32"/>
          <w:szCs w:val="32"/>
        </w:rPr>
      </w:pPr>
      <w:r>
        <w:rPr>
          <w:rFonts w:hint="eastAsia" w:ascii="Times New Roman" w:hAnsi="Times New Roman" w:eastAsia="黑体" w:cs="黑体"/>
          <w:b w:val="0"/>
          <w:bCs w:val="0"/>
          <w:spacing w:val="-3"/>
          <w:sz w:val="32"/>
          <w:szCs w:val="32"/>
        </w:rPr>
        <w:t>三、资格条件</w:t>
      </w:r>
    </w:p>
    <w:p w14:paraId="0B9C5FE4">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Times New Roman" w:hAnsi="Times New Roman" w:eastAsia="仿宋_GB2312"/>
          <w:b w:val="0"/>
          <w:bCs/>
          <w:sz w:val="32"/>
          <w:szCs w:val="32"/>
          <w:highlight w:val="none"/>
          <w:lang w:val="en-US" w:eastAsia="zh-CN"/>
        </w:rPr>
      </w:pPr>
      <w:r>
        <w:rPr>
          <w:rFonts w:hint="eastAsia" w:ascii="Times New Roman" w:hAnsi="Times New Roman" w:eastAsia="仿宋_GB2312"/>
          <w:b w:val="0"/>
          <w:bCs/>
          <w:sz w:val="32"/>
          <w:szCs w:val="32"/>
          <w:highlight w:val="none"/>
          <w:lang w:val="en-US" w:eastAsia="zh-CN"/>
        </w:rPr>
        <w:t>1. 政治素质好、工作责任心强、有较好的协同工作能力和团队意识、愿意积极投身于农业援外事业；</w:t>
      </w:r>
    </w:p>
    <w:p w14:paraId="16FD5108">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Times New Roman" w:hAnsi="Times New Roman" w:eastAsia="仿宋_GB2312"/>
          <w:b w:val="0"/>
          <w:bCs/>
          <w:sz w:val="32"/>
          <w:szCs w:val="32"/>
          <w:highlight w:val="none"/>
          <w:lang w:val="en-US" w:eastAsia="zh-CN"/>
        </w:rPr>
      </w:pPr>
      <w:r>
        <w:rPr>
          <w:rFonts w:hint="eastAsia" w:ascii="Times New Roman" w:hAnsi="Times New Roman" w:eastAsia="仿宋_GB2312"/>
          <w:b w:val="0"/>
          <w:bCs/>
          <w:sz w:val="32"/>
          <w:szCs w:val="32"/>
          <w:highlight w:val="none"/>
          <w:lang w:val="en-US" w:eastAsia="zh-CN"/>
        </w:rPr>
        <w:t>2. 身体健康，年龄一般不超过55岁；</w:t>
      </w:r>
    </w:p>
    <w:p w14:paraId="22266A71">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Times New Roman" w:hAnsi="Times New Roman" w:eastAsia="仿宋_GB2312"/>
          <w:b w:val="0"/>
          <w:bCs/>
          <w:sz w:val="32"/>
          <w:szCs w:val="32"/>
          <w:highlight w:val="none"/>
          <w:lang w:val="en-US" w:eastAsia="zh-CN"/>
        </w:rPr>
      </w:pPr>
      <w:r>
        <w:rPr>
          <w:rFonts w:hint="eastAsia" w:ascii="Times New Roman" w:hAnsi="Times New Roman" w:eastAsia="仿宋_GB2312"/>
          <w:b w:val="0"/>
          <w:bCs/>
          <w:sz w:val="32"/>
          <w:szCs w:val="32"/>
          <w:highlight w:val="none"/>
          <w:lang w:val="en-US" w:eastAsia="zh-CN"/>
        </w:rPr>
        <w:t>3.</w:t>
      </w:r>
      <w:r>
        <w:rPr>
          <w:rFonts w:hint="eastAsia" w:eastAsia="仿宋_GB2312"/>
          <w:b w:val="0"/>
          <w:bCs/>
          <w:sz w:val="32"/>
          <w:szCs w:val="32"/>
          <w:highlight w:val="none"/>
          <w:lang w:val="en-US" w:eastAsia="zh-CN"/>
        </w:rPr>
        <w:t xml:space="preserve"> </w:t>
      </w:r>
      <w:r>
        <w:rPr>
          <w:rFonts w:hint="eastAsia" w:ascii="Times New Roman" w:hAnsi="Times New Roman" w:eastAsia="仿宋_GB2312"/>
          <w:b w:val="0"/>
          <w:bCs/>
          <w:sz w:val="32"/>
          <w:szCs w:val="32"/>
          <w:highlight w:val="none"/>
          <w:lang w:val="en-US" w:eastAsia="zh-CN"/>
        </w:rPr>
        <w:t>专业基础好，能够较好完成可行性研究、验收评估等任务；</w:t>
      </w:r>
    </w:p>
    <w:p w14:paraId="406AF1CF">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Times New Roman" w:hAnsi="Times New Roman" w:eastAsia="仿宋_GB2312"/>
          <w:b w:val="0"/>
          <w:bCs/>
          <w:sz w:val="32"/>
          <w:szCs w:val="32"/>
          <w:highlight w:val="none"/>
          <w:lang w:val="en-US" w:eastAsia="zh-CN"/>
        </w:rPr>
      </w:pPr>
      <w:r>
        <w:rPr>
          <w:rFonts w:hint="eastAsia" w:ascii="Times New Roman" w:hAnsi="Times New Roman" w:eastAsia="仿宋_GB2312"/>
          <w:b w:val="0"/>
          <w:bCs/>
          <w:sz w:val="32"/>
          <w:szCs w:val="32"/>
          <w:highlight w:val="none"/>
          <w:lang w:val="en-US" w:eastAsia="zh-CN"/>
        </w:rPr>
        <w:t>4.</w:t>
      </w:r>
      <w:r>
        <w:rPr>
          <w:rFonts w:hint="eastAsia" w:eastAsia="仿宋_GB2312"/>
          <w:b w:val="0"/>
          <w:bCs/>
          <w:sz w:val="32"/>
          <w:szCs w:val="32"/>
          <w:highlight w:val="none"/>
          <w:lang w:val="en-US" w:eastAsia="zh-CN"/>
        </w:rPr>
        <w:t xml:space="preserve"> </w:t>
      </w:r>
      <w:r>
        <w:rPr>
          <w:rFonts w:hint="eastAsia" w:ascii="Times New Roman" w:hAnsi="Times New Roman" w:eastAsia="仿宋_GB2312"/>
          <w:b w:val="0"/>
          <w:bCs/>
          <w:sz w:val="32"/>
          <w:szCs w:val="32"/>
          <w:highlight w:val="none"/>
          <w:lang w:val="en-US" w:eastAsia="zh-CN"/>
        </w:rPr>
        <w:t>能够独立使用英语开展工作；</w:t>
      </w:r>
    </w:p>
    <w:p w14:paraId="53CDE5ED">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Times New Roman" w:hAnsi="Times New Roman" w:eastAsia="仿宋_GB2312"/>
          <w:b w:val="0"/>
          <w:bCs/>
          <w:sz w:val="32"/>
          <w:szCs w:val="32"/>
          <w:highlight w:val="none"/>
          <w:lang w:val="en-US" w:eastAsia="zh-CN"/>
        </w:rPr>
      </w:pPr>
      <w:r>
        <w:rPr>
          <w:rFonts w:hint="eastAsia" w:ascii="Times New Roman" w:hAnsi="Times New Roman" w:eastAsia="仿宋_GB2312"/>
          <w:b w:val="0"/>
          <w:bCs/>
          <w:sz w:val="32"/>
          <w:szCs w:val="32"/>
          <w:highlight w:val="none"/>
          <w:lang w:val="en-US" w:eastAsia="zh-CN"/>
        </w:rPr>
        <w:t>5. 具有高级及以上专业技术职称；</w:t>
      </w:r>
    </w:p>
    <w:p w14:paraId="3ED982FF">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Times New Roman" w:hAnsi="Times New Roman" w:eastAsia="仿宋_GB2312"/>
          <w:b w:val="0"/>
          <w:bCs/>
          <w:sz w:val="32"/>
          <w:szCs w:val="32"/>
          <w:highlight w:val="none"/>
          <w:lang w:val="en-US" w:eastAsia="zh-CN"/>
        </w:rPr>
      </w:pPr>
      <w:r>
        <w:rPr>
          <w:rFonts w:hint="eastAsia" w:ascii="Times New Roman" w:hAnsi="Times New Roman" w:eastAsia="仿宋_GB2312"/>
          <w:b w:val="0"/>
          <w:bCs/>
          <w:sz w:val="32"/>
          <w:szCs w:val="32"/>
          <w:highlight w:val="none"/>
          <w:lang w:val="en-US" w:eastAsia="zh-CN"/>
        </w:rPr>
        <w:t>6. 参与过国内政府部门、国际组织、非政府组织和私营部门实施的农业类技术合作项目可研和验收评估任务者优先。</w:t>
      </w:r>
    </w:p>
    <w:p w14:paraId="15237C9D">
      <w:pPr>
        <w:keepNext w:val="0"/>
        <w:keepLines w:val="0"/>
        <w:pageBreakBefore w:val="0"/>
        <w:widowControl w:val="0"/>
        <w:kinsoku/>
        <w:wordWrap/>
        <w:overflowPunct/>
        <w:topLinePunct w:val="0"/>
        <w:autoSpaceDE/>
        <w:autoSpaceDN/>
        <w:bidi w:val="0"/>
        <w:adjustRightInd/>
        <w:snapToGrid/>
        <w:spacing w:line="360" w:lineRule="auto"/>
        <w:ind w:left="675"/>
        <w:textAlignment w:val="auto"/>
        <w:outlineLvl w:val="0"/>
        <w:rPr>
          <w:rFonts w:hint="eastAsia" w:ascii="Times New Roman" w:hAnsi="Times New Roman" w:eastAsia="黑体" w:cs="黑体"/>
          <w:b w:val="0"/>
          <w:bCs w:val="0"/>
          <w:spacing w:val="-3"/>
          <w:sz w:val="32"/>
          <w:szCs w:val="32"/>
        </w:rPr>
      </w:pPr>
      <w:r>
        <w:rPr>
          <w:rFonts w:hint="eastAsia" w:ascii="Times New Roman" w:hAnsi="Times New Roman" w:eastAsia="黑体" w:cs="黑体"/>
          <w:b w:val="0"/>
          <w:bCs w:val="0"/>
          <w:spacing w:val="-3"/>
          <w:sz w:val="32"/>
          <w:szCs w:val="32"/>
        </w:rPr>
        <w:t>四、后续安排</w:t>
      </w:r>
    </w:p>
    <w:p w14:paraId="71AC016B">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Times New Roman" w:hAnsi="Times New Roman" w:eastAsia="仿宋_GB2312"/>
          <w:b w:val="0"/>
          <w:bCs/>
          <w:sz w:val="32"/>
          <w:szCs w:val="32"/>
          <w:highlight w:val="none"/>
          <w:lang w:val="en-US" w:eastAsia="zh-CN"/>
        </w:rPr>
      </w:pPr>
      <w:r>
        <w:rPr>
          <w:rFonts w:hint="eastAsia" w:ascii="Times New Roman" w:hAnsi="Times New Roman" w:eastAsia="仿宋_GB2312"/>
          <w:b w:val="0"/>
          <w:bCs/>
          <w:sz w:val="32"/>
          <w:szCs w:val="32"/>
          <w:highlight w:val="none"/>
          <w:lang w:val="en-US" w:eastAsia="zh-CN"/>
        </w:rPr>
        <w:t>1. 我中心收到报名材料后，将择优组织中英文面试，通过审核的专家人员纳入可研验收储备专家库；</w:t>
      </w:r>
    </w:p>
    <w:p w14:paraId="62AEF188">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Times New Roman" w:hAnsi="Times New Roman" w:eastAsia="仿宋_GB2312"/>
          <w:b w:val="0"/>
          <w:bCs/>
          <w:sz w:val="32"/>
          <w:szCs w:val="32"/>
          <w:highlight w:val="none"/>
          <w:lang w:val="en-US" w:eastAsia="zh-CN"/>
        </w:rPr>
      </w:pPr>
      <w:r>
        <w:rPr>
          <w:rFonts w:hint="eastAsia" w:ascii="Times New Roman" w:hAnsi="Times New Roman" w:eastAsia="仿宋_GB2312"/>
          <w:b w:val="0"/>
          <w:bCs/>
          <w:sz w:val="32"/>
          <w:szCs w:val="32"/>
          <w:highlight w:val="none"/>
          <w:lang w:val="en-US" w:eastAsia="zh-CN"/>
        </w:rPr>
        <w:t>2. 入库专家可参与我中心承担的农业对外技术援助可行性研究、验收评估等工作。</w:t>
      </w:r>
    </w:p>
    <w:p w14:paraId="621B605D">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jc w:val="both"/>
        <w:textAlignment w:val="auto"/>
        <w:rPr>
          <w:rFonts w:hint="eastAsia" w:ascii="Times New Roman" w:hAnsi="Times New Roman" w:eastAsia="仿宋_GB2312"/>
          <w:b w:val="0"/>
          <w:bCs/>
          <w:sz w:val="32"/>
          <w:szCs w:val="32"/>
          <w:highlight w:val="none"/>
          <w:lang w:val="en-US" w:eastAsia="zh-CN"/>
        </w:rPr>
      </w:pPr>
    </w:p>
    <w:p w14:paraId="56CF076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0B4291"/>
    <w:rsid w:val="0F0B4291"/>
    <w:rsid w:val="3918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spacing w:before="120" w:beforeAutospacing="1" w:after="120" w:afterAutospacing="1"/>
      <w:jc w:val="left"/>
      <w:outlineLvl w:val="1"/>
    </w:pPr>
    <w:rPr>
      <w:rFonts w:hint="eastAsia" w:ascii="宋体" w:hAnsi="宋体" w:eastAsia="仿宋" w:cs="宋体"/>
      <w:b/>
      <w:bCs/>
      <w:kern w:val="0"/>
      <w:sz w:val="28"/>
      <w:szCs w:val="36"/>
      <w:lang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2026-03-19T09:22:00Z</dcterms:created>
  <dc:creator>202500405</dc:creator>
  <cp:lastModifiedBy>202500405</cp:lastModifiedBy>
  <dcterms:modified xsi:type="dcterms:W3CDTF">2026-03-19T09:24:56Z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AB3598D4C4344D68A9F0180A1AFD0ADC_11</vt:lpwstr>
  </property>
  <property fmtid="{D5CDD505-2E9C-101B-9397-08002B2CF9AE}" pid="4" name="KSOTemplateDocerSaveRecord">
    <vt:lpwstr>eyJoZGlkIjoiODIzYjJmYzUxZjg5ZDA1Yzk1MjYxNTNiYWE4NWYzMjUiLCJ1c2VySWQiOiIxODEyNTY1MDU1In0=</vt:lpwstr>
  </property>
</Properties>
</file>